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A7" w:rsidRDefault="00BD0800" w:rsidP="00CC421A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323850</wp:posOffset>
            </wp:positionV>
            <wp:extent cx="6762750" cy="1685925"/>
            <wp:effectExtent l="0" t="0" r="0" b="0"/>
            <wp:wrapNone/>
            <wp:docPr id="2" name="Picture 1" descr="12tea_LtrHd_ML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tea_LtrHd_MLW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5" t="9131" r="8237" b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9A7" w:rsidRDefault="007F39A7" w:rsidP="00CC421A">
      <w:pPr>
        <w:spacing w:line="240" w:lineRule="auto"/>
        <w:jc w:val="both"/>
        <w:rPr>
          <w:rFonts w:ascii="Arial" w:hAnsi="Arial" w:cs="Arial"/>
        </w:rPr>
      </w:pPr>
    </w:p>
    <w:p w:rsidR="007F39A7" w:rsidRDefault="007F39A7" w:rsidP="00CC421A">
      <w:pPr>
        <w:spacing w:line="240" w:lineRule="auto"/>
        <w:jc w:val="both"/>
        <w:rPr>
          <w:rFonts w:ascii="Arial" w:hAnsi="Arial" w:cs="Arial"/>
        </w:rPr>
      </w:pPr>
    </w:p>
    <w:p w:rsidR="007F39A7" w:rsidRDefault="007F39A7" w:rsidP="00CC421A">
      <w:pPr>
        <w:spacing w:line="240" w:lineRule="auto"/>
        <w:jc w:val="both"/>
        <w:rPr>
          <w:rFonts w:ascii="Arial" w:hAnsi="Arial" w:cs="Arial"/>
        </w:rPr>
      </w:pPr>
    </w:p>
    <w:p w:rsidR="0020650F" w:rsidRPr="00757E7F" w:rsidRDefault="00D27F78" w:rsidP="00CC421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7F39A7">
        <w:rPr>
          <w:rFonts w:ascii="Arial" w:hAnsi="Arial" w:cs="Arial"/>
        </w:rPr>
        <w:t>25</w:t>
      </w:r>
      <w:r w:rsidR="0020650F" w:rsidRPr="00757E7F">
        <w:rPr>
          <w:rFonts w:ascii="Arial" w:hAnsi="Arial" w:cs="Arial"/>
        </w:rPr>
        <w:t>, 2014</w:t>
      </w:r>
    </w:p>
    <w:p w:rsidR="00F30D44" w:rsidRDefault="00F30D44" w:rsidP="00CC421A">
      <w:pPr>
        <w:spacing w:line="240" w:lineRule="auto"/>
        <w:jc w:val="both"/>
        <w:rPr>
          <w:rFonts w:ascii="Arial" w:hAnsi="Arial" w:cs="Arial"/>
        </w:rPr>
      </w:pPr>
    </w:p>
    <w:p w:rsidR="0020650F" w:rsidRPr="00757E7F" w:rsidRDefault="0020650F" w:rsidP="007F39A7">
      <w:pPr>
        <w:spacing w:line="240" w:lineRule="auto"/>
        <w:rPr>
          <w:rFonts w:ascii="Arial" w:hAnsi="Arial" w:cs="Arial"/>
        </w:rPr>
      </w:pPr>
      <w:r w:rsidRPr="00757E7F">
        <w:rPr>
          <w:rFonts w:ascii="Arial" w:hAnsi="Arial" w:cs="Arial"/>
        </w:rPr>
        <w:t xml:space="preserve">TO THE </w:t>
      </w:r>
      <w:r w:rsidR="00564917">
        <w:rPr>
          <w:rFonts w:ascii="Arial" w:hAnsi="Arial" w:cs="Arial"/>
        </w:rPr>
        <w:t>ADMINISTRATOR</w:t>
      </w:r>
      <w:r w:rsidRPr="00757E7F">
        <w:rPr>
          <w:rFonts w:ascii="Arial" w:hAnsi="Arial" w:cs="Arial"/>
        </w:rPr>
        <w:t xml:space="preserve"> ADDRESSED:</w:t>
      </w:r>
    </w:p>
    <w:p w:rsidR="0020650F" w:rsidRDefault="0020650F" w:rsidP="007F39A7">
      <w:pPr>
        <w:spacing w:line="240" w:lineRule="auto"/>
        <w:rPr>
          <w:rFonts w:ascii="Arial" w:hAnsi="Arial" w:cs="Arial"/>
        </w:rPr>
      </w:pPr>
      <w:r w:rsidRPr="00757E7F">
        <w:rPr>
          <w:rFonts w:ascii="Arial" w:hAnsi="Arial" w:cs="Arial"/>
        </w:rPr>
        <w:t xml:space="preserve">SUBJECT:  </w:t>
      </w:r>
      <w:r>
        <w:rPr>
          <w:rFonts w:ascii="Arial" w:hAnsi="Arial" w:cs="Arial"/>
        </w:rPr>
        <w:t>English I and English II End-of-Course (EOC) Performance Standards and Performance Standards Rulemaking</w:t>
      </w:r>
    </w:p>
    <w:p w:rsidR="00936287" w:rsidRDefault="00A900C9" w:rsidP="007F39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Pr="00EB3A47">
        <w:rPr>
          <w:rFonts w:ascii="Arial" w:hAnsi="Arial" w:cs="Arial"/>
          <w:sz w:val="21"/>
          <w:szCs w:val="21"/>
        </w:rPr>
        <w:t>83</w:t>
      </w:r>
      <w:r w:rsidRPr="00EB3A47">
        <w:rPr>
          <w:rFonts w:ascii="Arial" w:hAnsi="Arial" w:cs="Arial"/>
          <w:sz w:val="21"/>
          <w:szCs w:val="21"/>
          <w:vertAlign w:val="superscript"/>
        </w:rPr>
        <w:t>rd</w:t>
      </w:r>
      <w:r w:rsidRPr="00EB3A47">
        <w:rPr>
          <w:rFonts w:ascii="Arial" w:hAnsi="Arial" w:cs="Arial"/>
          <w:sz w:val="21"/>
          <w:szCs w:val="21"/>
        </w:rPr>
        <w:t xml:space="preserve"> Texas </w:t>
      </w:r>
      <w:r>
        <w:rPr>
          <w:rFonts w:ascii="Arial" w:hAnsi="Arial" w:cs="Arial"/>
          <w:sz w:val="21"/>
          <w:szCs w:val="21"/>
        </w:rPr>
        <w:t>L</w:t>
      </w:r>
      <w:r w:rsidRPr="00EB3A47">
        <w:rPr>
          <w:rFonts w:ascii="Arial" w:hAnsi="Arial" w:cs="Arial"/>
          <w:sz w:val="21"/>
          <w:szCs w:val="21"/>
        </w:rPr>
        <w:t>egislature</w:t>
      </w:r>
      <w:r>
        <w:rPr>
          <w:rFonts w:ascii="Arial" w:hAnsi="Arial" w:cs="Arial"/>
          <w:sz w:val="21"/>
          <w:szCs w:val="21"/>
        </w:rPr>
        <w:t xml:space="preserve">’s </w:t>
      </w:r>
      <w:r w:rsidRPr="00EB3A47">
        <w:rPr>
          <w:rFonts w:ascii="Arial" w:hAnsi="Arial" w:cs="Arial"/>
          <w:sz w:val="21"/>
          <w:szCs w:val="21"/>
        </w:rPr>
        <w:t>passage of House Bill 5</w:t>
      </w:r>
      <w:r>
        <w:rPr>
          <w:rFonts w:ascii="Arial" w:hAnsi="Arial" w:cs="Arial"/>
          <w:sz w:val="21"/>
          <w:szCs w:val="21"/>
        </w:rPr>
        <w:t xml:space="preserve"> mandates that</w:t>
      </w:r>
      <w:r>
        <w:rPr>
          <w:rFonts w:ascii="Arial" w:hAnsi="Arial" w:cs="Arial"/>
        </w:rPr>
        <w:t>, beginning in spring 2014, the STAAR</w:t>
      </w:r>
      <w:r w:rsidR="00533BBA">
        <w:rPr>
          <w:rFonts w:ascii="Arial" w:hAnsi="Arial" w:cs="Arial"/>
        </w:rPr>
        <w:t xml:space="preserve"> and STAAR Modified</w:t>
      </w:r>
      <w:r>
        <w:rPr>
          <w:rFonts w:ascii="Arial" w:hAnsi="Arial" w:cs="Arial"/>
        </w:rPr>
        <w:t xml:space="preserve"> English I and English II </w:t>
      </w:r>
      <w:r w:rsidRPr="00985529">
        <w:rPr>
          <w:rFonts w:ascii="Arial" w:hAnsi="Arial" w:cs="Arial"/>
        </w:rPr>
        <w:t xml:space="preserve">reading and writing assessments </w:t>
      </w:r>
      <w:r w:rsidRPr="00CA6D1F">
        <w:rPr>
          <w:rFonts w:ascii="Arial" w:hAnsi="Arial" w:cs="Arial"/>
          <w:highlight w:val="yellow"/>
        </w:rPr>
        <w:t>may no longer be administered as separate assessments.</w:t>
      </w:r>
      <w:r>
        <w:rPr>
          <w:rFonts w:ascii="Arial" w:hAnsi="Arial" w:cs="Arial"/>
        </w:rPr>
        <w:t xml:space="preserve"> </w:t>
      </w:r>
      <w:r w:rsidRPr="00604D02">
        <w:rPr>
          <w:rFonts w:ascii="Arial" w:hAnsi="Arial" w:cs="Arial"/>
        </w:rPr>
        <w:t xml:space="preserve">To reflect the intent of </w:t>
      </w:r>
      <w:r>
        <w:rPr>
          <w:rFonts w:ascii="Arial" w:hAnsi="Arial" w:cs="Arial"/>
        </w:rPr>
        <w:t>this legislation</w:t>
      </w:r>
      <w:r w:rsidRPr="00604D02">
        <w:rPr>
          <w:rFonts w:ascii="Arial" w:hAnsi="Arial" w:cs="Arial"/>
        </w:rPr>
        <w:t>,</w:t>
      </w:r>
      <w:r w:rsidR="00533BBA">
        <w:rPr>
          <w:rFonts w:ascii="Arial" w:hAnsi="Arial" w:cs="Arial"/>
        </w:rPr>
        <w:t xml:space="preserve"> </w:t>
      </w:r>
      <w:r w:rsidR="00915EEC">
        <w:rPr>
          <w:rFonts w:ascii="Arial" w:hAnsi="Arial" w:cs="Arial"/>
        </w:rPr>
        <w:t xml:space="preserve">the </w:t>
      </w:r>
      <w:r w:rsidRPr="00604D02">
        <w:rPr>
          <w:rFonts w:ascii="Arial" w:hAnsi="Arial" w:cs="Arial"/>
        </w:rPr>
        <w:t>English I and II assessments have been redesigned to combine reading and writing into a single measure with a single test score</w:t>
      </w:r>
      <w:r>
        <w:rPr>
          <w:rFonts w:ascii="Arial" w:hAnsi="Arial" w:cs="Arial"/>
        </w:rPr>
        <w:t xml:space="preserve">. </w:t>
      </w:r>
      <w:r w:rsidRPr="00604D02">
        <w:rPr>
          <w:rFonts w:ascii="Arial" w:hAnsi="Arial" w:cs="Arial"/>
        </w:rPr>
        <w:t>Each redesigned English assess</w:t>
      </w:r>
      <w:r w:rsidR="00C777A5">
        <w:rPr>
          <w:rFonts w:ascii="Arial" w:hAnsi="Arial" w:cs="Arial"/>
        </w:rPr>
        <w:t>ment must also be administered o</w:t>
      </w:r>
      <w:r w:rsidRPr="00604D02">
        <w:rPr>
          <w:rFonts w:ascii="Arial" w:hAnsi="Arial" w:cs="Arial"/>
        </w:rPr>
        <w:t>n a single day.</w:t>
      </w:r>
      <w:r w:rsidR="00142181" w:rsidRPr="00142181">
        <w:rPr>
          <w:rFonts w:ascii="Arial" w:hAnsi="Arial" w:cs="Arial"/>
        </w:rPr>
        <w:t xml:space="preserve"> </w:t>
      </w:r>
      <w:r w:rsidR="00142181">
        <w:rPr>
          <w:rFonts w:ascii="Arial" w:hAnsi="Arial" w:cs="Arial"/>
        </w:rPr>
        <w:t xml:space="preserve"> </w:t>
      </w:r>
    </w:p>
    <w:p w:rsidR="00C91EFE" w:rsidRDefault="009E05AA" w:rsidP="007F39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January</w:t>
      </w:r>
      <w:r w:rsidR="00255095" w:rsidRPr="00255095">
        <w:rPr>
          <w:rFonts w:ascii="Arial" w:hAnsi="Arial" w:cs="Arial"/>
        </w:rPr>
        <w:t xml:space="preserve"> 2014, a standard-setting committee consisting of Texas educators was </w:t>
      </w:r>
      <w:r w:rsidR="00255095" w:rsidRPr="001A7615">
        <w:rPr>
          <w:rFonts w:ascii="Arial" w:hAnsi="Arial" w:cs="Arial"/>
        </w:rPr>
        <w:t>convened to recommend performance standards for the redesigned STAAR</w:t>
      </w:r>
      <w:r w:rsidR="00E42206">
        <w:rPr>
          <w:rFonts w:ascii="Arial" w:hAnsi="Arial" w:cs="Arial"/>
        </w:rPr>
        <w:t xml:space="preserve"> </w:t>
      </w:r>
      <w:r w:rsidR="00255095" w:rsidRPr="001A7615">
        <w:rPr>
          <w:rFonts w:ascii="Arial" w:hAnsi="Arial" w:cs="Arial"/>
        </w:rPr>
        <w:t xml:space="preserve">English I and </w:t>
      </w:r>
      <w:r w:rsidRPr="001A7615">
        <w:rPr>
          <w:rFonts w:ascii="Arial" w:hAnsi="Arial" w:cs="Arial"/>
        </w:rPr>
        <w:t xml:space="preserve">English </w:t>
      </w:r>
      <w:r w:rsidR="00255095" w:rsidRPr="001A7615">
        <w:rPr>
          <w:rFonts w:ascii="Arial" w:hAnsi="Arial" w:cs="Arial"/>
        </w:rPr>
        <w:t>II assessments. The committee was comprised of a subset of the panelists that established the original standards in spring 2012 and included both K</w:t>
      </w:r>
      <w:r w:rsidR="00A900C9" w:rsidRPr="001A7615">
        <w:rPr>
          <w:rFonts w:ascii="Arial" w:hAnsi="Arial" w:cs="Arial"/>
        </w:rPr>
        <w:t>–</w:t>
      </w:r>
      <w:r w:rsidR="00255095" w:rsidRPr="001A7615">
        <w:rPr>
          <w:rFonts w:ascii="Arial" w:hAnsi="Arial" w:cs="Arial"/>
        </w:rPr>
        <w:t xml:space="preserve">12 and higher-education representatives. Consistent with previous STAAR standard setting, </w:t>
      </w:r>
      <w:r w:rsidRPr="001A7615">
        <w:rPr>
          <w:rFonts w:ascii="Arial" w:hAnsi="Arial" w:cs="Arial"/>
        </w:rPr>
        <w:t>the</w:t>
      </w:r>
      <w:r w:rsidR="00A37644" w:rsidRPr="001A7615">
        <w:rPr>
          <w:rFonts w:ascii="Arial" w:hAnsi="Arial" w:cs="Arial"/>
        </w:rPr>
        <w:t xml:space="preserve"> </w:t>
      </w:r>
      <w:r w:rsidR="00C91EFE">
        <w:rPr>
          <w:rFonts w:ascii="Arial" w:hAnsi="Arial" w:cs="Arial"/>
        </w:rPr>
        <w:t>p</w:t>
      </w:r>
      <w:r w:rsidR="00C91EFE" w:rsidRPr="003065EB">
        <w:rPr>
          <w:rFonts w:ascii="Arial" w:hAnsi="Arial" w:cs="Arial"/>
        </w:rPr>
        <w:t>hase-in 1, phase-in 2, and final recommended</w:t>
      </w:r>
      <w:r w:rsidR="00C91EFE">
        <w:rPr>
          <w:rFonts w:ascii="Arial" w:hAnsi="Arial" w:cs="Arial"/>
        </w:rPr>
        <w:t xml:space="preserve"> cut</w:t>
      </w:r>
      <w:r w:rsidR="00C91EFE" w:rsidRPr="003065EB">
        <w:rPr>
          <w:rFonts w:ascii="Arial" w:hAnsi="Arial" w:cs="Arial"/>
        </w:rPr>
        <w:t xml:space="preserve"> scores h</w:t>
      </w:r>
      <w:r w:rsidR="00C91EFE">
        <w:rPr>
          <w:rFonts w:ascii="Arial" w:hAnsi="Arial" w:cs="Arial"/>
        </w:rPr>
        <w:t>ave been determined for Level II, which indicates satisfactory academic p</w:t>
      </w:r>
      <w:r w:rsidR="00C91EFE" w:rsidRPr="003065EB">
        <w:rPr>
          <w:rFonts w:ascii="Arial" w:hAnsi="Arial" w:cs="Arial"/>
        </w:rPr>
        <w:t>erformance. The Level III</w:t>
      </w:r>
      <w:r w:rsidR="00C91EFE">
        <w:rPr>
          <w:rFonts w:ascii="Arial" w:hAnsi="Arial" w:cs="Arial"/>
        </w:rPr>
        <w:t xml:space="preserve"> standard (</w:t>
      </w:r>
      <w:r w:rsidR="00C91EFE" w:rsidRPr="001A7615">
        <w:rPr>
          <w:rFonts w:ascii="Arial" w:hAnsi="Arial" w:cs="Arial"/>
        </w:rPr>
        <w:t>Advanced Academic Performance</w:t>
      </w:r>
      <w:r w:rsidR="00C91EFE">
        <w:rPr>
          <w:rFonts w:ascii="Arial" w:hAnsi="Arial" w:cs="Arial"/>
        </w:rPr>
        <w:t xml:space="preserve">) </w:t>
      </w:r>
      <w:r w:rsidR="00C91EFE" w:rsidRPr="003065EB">
        <w:rPr>
          <w:rFonts w:ascii="Arial" w:hAnsi="Arial" w:cs="Arial"/>
        </w:rPr>
        <w:t>will not be phased in. The following table</w:t>
      </w:r>
      <w:r w:rsidR="00C91EFE">
        <w:rPr>
          <w:rFonts w:ascii="Arial" w:hAnsi="Arial" w:cs="Arial"/>
        </w:rPr>
        <w:t>s</w:t>
      </w:r>
      <w:r w:rsidR="00C91EFE" w:rsidRPr="003065EB">
        <w:rPr>
          <w:rFonts w:ascii="Arial" w:hAnsi="Arial" w:cs="Arial"/>
        </w:rPr>
        <w:t xml:space="preserve"> </w:t>
      </w:r>
      <w:r w:rsidR="00C91EFE">
        <w:rPr>
          <w:rFonts w:ascii="Arial" w:hAnsi="Arial" w:cs="Arial"/>
        </w:rPr>
        <w:t>show</w:t>
      </w:r>
      <w:r w:rsidR="00C91EFE" w:rsidRPr="003065EB">
        <w:rPr>
          <w:rFonts w:ascii="Arial" w:hAnsi="Arial" w:cs="Arial"/>
        </w:rPr>
        <w:t xml:space="preserve"> the</w:t>
      </w:r>
      <w:r w:rsidR="00CC62F3">
        <w:rPr>
          <w:rFonts w:ascii="Arial" w:hAnsi="Arial" w:cs="Arial"/>
        </w:rPr>
        <w:t xml:space="preserve"> proposed</w:t>
      </w:r>
      <w:r w:rsidR="00C91EFE" w:rsidRPr="003065EB">
        <w:rPr>
          <w:rFonts w:ascii="Arial" w:hAnsi="Arial" w:cs="Arial"/>
        </w:rPr>
        <w:t xml:space="preserve"> </w:t>
      </w:r>
      <w:r w:rsidR="00C91EFE">
        <w:rPr>
          <w:rFonts w:ascii="Arial" w:hAnsi="Arial" w:cs="Arial"/>
        </w:rPr>
        <w:t>cut scores for the STAAR and STAAR Modified English assessments</w:t>
      </w:r>
      <w:r w:rsidR="00C91EFE" w:rsidRPr="003065EB">
        <w:rPr>
          <w:rFonts w:ascii="Arial" w:hAnsi="Arial" w:cs="Arial"/>
        </w:rPr>
        <w:t>.</w:t>
      </w:r>
      <w:r w:rsidR="00255095" w:rsidRPr="001A7615">
        <w:rPr>
          <w:rFonts w:ascii="Arial" w:hAnsi="Arial" w:cs="Arial"/>
        </w:rPr>
        <w:t xml:space="preserve">  </w:t>
      </w:r>
    </w:p>
    <w:p w:rsidR="00F20C94" w:rsidRDefault="00F20C94" w:rsidP="00CC421A">
      <w:pPr>
        <w:spacing w:line="240" w:lineRule="auto"/>
        <w:jc w:val="both"/>
        <w:rPr>
          <w:rFonts w:ascii="Arial" w:hAnsi="Arial" w:cs="Arial"/>
        </w:rPr>
      </w:pPr>
    </w:p>
    <w:p w:rsidR="00C91EFE" w:rsidRPr="007F39A7" w:rsidRDefault="00C91EFE" w:rsidP="007F39A7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7F39A7">
        <w:rPr>
          <w:rFonts w:ascii="Arial" w:hAnsi="Arial" w:cs="Arial"/>
          <w:b/>
        </w:rPr>
        <w:t>Table 1: STAAR Level II and Level III Cut Scores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94"/>
        <w:gridCol w:w="1772"/>
      </w:tblGrid>
      <w:tr w:rsidR="00C91EFE" w:rsidRPr="007F39A7" w:rsidTr="007F39A7">
        <w:trPr>
          <w:jc w:val="center"/>
        </w:trPr>
        <w:tc>
          <w:tcPr>
            <w:tcW w:w="1771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STAAR Assessment</w:t>
            </w:r>
          </w:p>
        </w:tc>
        <w:tc>
          <w:tcPr>
            <w:tcW w:w="1771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Level II</w:t>
            </w:r>
          </w:p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Phase-in 1</w:t>
            </w:r>
          </w:p>
        </w:tc>
        <w:tc>
          <w:tcPr>
            <w:tcW w:w="1771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Level II</w:t>
            </w:r>
          </w:p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Phase-in 2</w:t>
            </w:r>
          </w:p>
        </w:tc>
        <w:tc>
          <w:tcPr>
            <w:tcW w:w="1771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Level II</w:t>
            </w:r>
          </w:p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Recommended</w:t>
            </w:r>
          </w:p>
        </w:tc>
        <w:tc>
          <w:tcPr>
            <w:tcW w:w="1772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Level III</w:t>
            </w:r>
          </w:p>
        </w:tc>
      </w:tr>
      <w:tr w:rsidR="00C91EFE" w:rsidRPr="007F39A7" w:rsidTr="007F39A7">
        <w:trPr>
          <w:jc w:val="center"/>
        </w:trPr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English I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3750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3900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4000</w:t>
            </w:r>
          </w:p>
        </w:tc>
        <w:tc>
          <w:tcPr>
            <w:tcW w:w="1772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4691</w:t>
            </w:r>
          </w:p>
        </w:tc>
      </w:tr>
      <w:tr w:rsidR="00C91EFE" w:rsidRPr="007F39A7" w:rsidTr="007F39A7">
        <w:trPr>
          <w:jc w:val="center"/>
        </w:trPr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English II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3750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3900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4000</w:t>
            </w:r>
          </w:p>
        </w:tc>
        <w:tc>
          <w:tcPr>
            <w:tcW w:w="1772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4831</w:t>
            </w:r>
          </w:p>
        </w:tc>
      </w:tr>
    </w:tbl>
    <w:p w:rsidR="00C91EFE" w:rsidRPr="007F39A7" w:rsidRDefault="00C91EFE" w:rsidP="007F39A7">
      <w:pPr>
        <w:pStyle w:val="NoSpacing"/>
        <w:rPr>
          <w:rFonts w:ascii="Arial" w:hAnsi="Arial" w:cs="Arial"/>
        </w:rPr>
      </w:pPr>
      <w:r w:rsidRPr="007F39A7">
        <w:rPr>
          <w:rFonts w:ascii="Arial" w:hAnsi="Arial" w:cs="Arial"/>
        </w:rPr>
        <w:t xml:space="preserve"> </w:t>
      </w:r>
    </w:p>
    <w:p w:rsidR="007F39A7" w:rsidRDefault="007F39A7" w:rsidP="007F39A7">
      <w:pPr>
        <w:pStyle w:val="NoSpacing"/>
        <w:rPr>
          <w:rFonts w:ascii="Arial" w:hAnsi="Arial" w:cs="Arial"/>
          <w:b/>
        </w:rPr>
      </w:pPr>
    </w:p>
    <w:p w:rsidR="00C91EFE" w:rsidRPr="007F39A7" w:rsidRDefault="00C91EFE" w:rsidP="007F39A7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7F39A7">
        <w:rPr>
          <w:rFonts w:ascii="Arial" w:hAnsi="Arial" w:cs="Arial"/>
          <w:b/>
        </w:rPr>
        <w:t>Table 2: STAAR Modified Level II and Level III Cut Scores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94"/>
        <w:gridCol w:w="1772"/>
      </w:tblGrid>
      <w:tr w:rsidR="00C91EFE" w:rsidRPr="007F39A7" w:rsidTr="007F39A7">
        <w:trPr>
          <w:jc w:val="center"/>
        </w:trPr>
        <w:tc>
          <w:tcPr>
            <w:tcW w:w="1771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STAAR Modified Assessment</w:t>
            </w:r>
          </w:p>
        </w:tc>
        <w:tc>
          <w:tcPr>
            <w:tcW w:w="1771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Level II</w:t>
            </w:r>
          </w:p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Phase-in 1</w:t>
            </w:r>
          </w:p>
        </w:tc>
        <w:tc>
          <w:tcPr>
            <w:tcW w:w="1771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Level II</w:t>
            </w:r>
          </w:p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Phase-in 2</w:t>
            </w:r>
          </w:p>
        </w:tc>
        <w:tc>
          <w:tcPr>
            <w:tcW w:w="1771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Level II</w:t>
            </w:r>
          </w:p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Recommended</w:t>
            </w:r>
          </w:p>
        </w:tc>
        <w:tc>
          <w:tcPr>
            <w:tcW w:w="1772" w:type="dxa"/>
            <w:shd w:val="clear" w:color="auto" w:fill="C6D9F1" w:themeFill="text2" w:themeFillTint="33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39A7">
              <w:rPr>
                <w:rFonts w:ascii="Arial" w:hAnsi="Arial" w:cs="Arial"/>
                <w:b/>
              </w:rPr>
              <w:t>Level III</w:t>
            </w:r>
          </w:p>
        </w:tc>
      </w:tr>
      <w:tr w:rsidR="00C91EFE" w:rsidRPr="007F39A7" w:rsidTr="007F39A7">
        <w:trPr>
          <w:jc w:val="center"/>
        </w:trPr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English I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2800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2857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3000</w:t>
            </w:r>
          </w:p>
        </w:tc>
        <w:tc>
          <w:tcPr>
            <w:tcW w:w="1772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3359</w:t>
            </w:r>
          </w:p>
        </w:tc>
      </w:tr>
      <w:tr w:rsidR="00C91EFE" w:rsidRPr="007F39A7" w:rsidTr="007F39A7">
        <w:trPr>
          <w:jc w:val="center"/>
        </w:trPr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English II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2800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2857</w:t>
            </w:r>
          </w:p>
        </w:tc>
        <w:tc>
          <w:tcPr>
            <w:tcW w:w="1771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3000</w:t>
            </w:r>
          </w:p>
        </w:tc>
        <w:tc>
          <w:tcPr>
            <w:tcW w:w="1772" w:type="dxa"/>
            <w:vAlign w:val="center"/>
          </w:tcPr>
          <w:p w:rsidR="00C91EFE" w:rsidRPr="007F39A7" w:rsidRDefault="00C91EFE" w:rsidP="007F39A7">
            <w:pPr>
              <w:pStyle w:val="NoSpacing"/>
              <w:jc w:val="center"/>
              <w:rPr>
                <w:rFonts w:ascii="Arial" w:hAnsi="Arial" w:cs="Arial"/>
              </w:rPr>
            </w:pPr>
            <w:r w:rsidRPr="007F39A7">
              <w:rPr>
                <w:rFonts w:ascii="Arial" w:hAnsi="Arial" w:cs="Arial"/>
              </w:rPr>
              <w:t>3302</w:t>
            </w:r>
          </w:p>
        </w:tc>
      </w:tr>
    </w:tbl>
    <w:p w:rsidR="00C91EFE" w:rsidRPr="001A7615" w:rsidRDefault="00C91EFE" w:rsidP="00CC421A">
      <w:pPr>
        <w:spacing w:line="240" w:lineRule="auto"/>
        <w:jc w:val="both"/>
        <w:rPr>
          <w:rFonts w:ascii="Arial" w:hAnsi="Arial" w:cs="Arial"/>
        </w:rPr>
      </w:pPr>
    </w:p>
    <w:p w:rsidR="007F39A7" w:rsidRDefault="007F39A7" w:rsidP="00CC421A">
      <w:pPr>
        <w:pStyle w:val="BodyText"/>
        <w:spacing w:before="10" w:after="200"/>
        <w:ind w:left="0" w:right="119"/>
        <w:jc w:val="both"/>
        <w:rPr>
          <w:rFonts w:cs="Arial"/>
        </w:rPr>
      </w:pPr>
    </w:p>
    <w:p w:rsidR="00915EEC" w:rsidRPr="00C91EFE" w:rsidRDefault="00255095" w:rsidP="00CC421A">
      <w:pPr>
        <w:pStyle w:val="BodyText"/>
        <w:spacing w:before="10" w:after="200"/>
        <w:ind w:left="0" w:right="119"/>
        <w:jc w:val="both"/>
        <w:rPr>
          <w:rFonts w:cs="Arial"/>
          <w:spacing w:val="-3"/>
          <w:w w:val="105"/>
          <w:sz w:val="22"/>
          <w:szCs w:val="22"/>
        </w:rPr>
      </w:pPr>
      <w:r w:rsidRPr="003065EB">
        <w:rPr>
          <w:rFonts w:cs="Arial"/>
        </w:rPr>
        <w:lastRenderedPageBreak/>
        <w:t xml:space="preserve">Students not achieving Level II performance are considered to be at Level </w:t>
      </w:r>
      <w:proofErr w:type="gramStart"/>
      <w:r w:rsidRPr="003065EB">
        <w:rPr>
          <w:rFonts w:cs="Arial"/>
        </w:rPr>
        <w:t>I</w:t>
      </w:r>
      <w:proofErr w:type="gramEnd"/>
      <w:r w:rsidRPr="003065EB">
        <w:rPr>
          <w:rFonts w:cs="Arial"/>
        </w:rPr>
        <w:t>: Unsatisfactory Academic Performance</w:t>
      </w:r>
      <w:r w:rsidR="005F4F20" w:rsidRPr="003065EB">
        <w:rPr>
          <w:rFonts w:cs="Arial"/>
        </w:rPr>
        <w:t xml:space="preserve">. </w:t>
      </w:r>
      <w:r w:rsidR="00C91EFE">
        <w:rPr>
          <w:rFonts w:cs="Arial"/>
          <w:w w:val="105"/>
          <w:sz w:val="22"/>
          <w:szCs w:val="22"/>
        </w:rPr>
        <w:t xml:space="preserve"> </w:t>
      </w:r>
    </w:p>
    <w:p w:rsidR="00ED49C9" w:rsidRPr="00533BBA" w:rsidRDefault="003B25FE" w:rsidP="007F39A7">
      <w:pPr>
        <w:spacing w:line="240" w:lineRule="auto"/>
        <w:rPr>
          <w:rFonts w:ascii="Arial" w:hAnsi="Arial" w:cs="Arial"/>
          <w:bCs/>
        </w:rPr>
      </w:pPr>
      <w:r w:rsidRPr="00FE6459">
        <w:rPr>
          <w:rFonts w:ascii="Arial" w:hAnsi="Arial" w:cs="Arial"/>
          <w:bCs/>
          <w:highlight w:val="yellow"/>
        </w:rPr>
        <w:t>Pass rates for the phase-in 1</w:t>
      </w:r>
      <w:r w:rsidR="00533BBA" w:rsidRPr="00FE6459">
        <w:rPr>
          <w:rFonts w:ascii="Arial" w:hAnsi="Arial" w:cs="Arial"/>
          <w:bCs/>
          <w:highlight w:val="yellow"/>
        </w:rPr>
        <w:t xml:space="preserve">, </w:t>
      </w:r>
      <w:r w:rsidRPr="00FE6459">
        <w:rPr>
          <w:rFonts w:ascii="Arial" w:hAnsi="Arial" w:cs="Arial"/>
          <w:bCs/>
          <w:highlight w:val="yellow"/>
        </w:rPr>
        <w:t>p</w:t>
      </w:r>
      <w:r w:rsidR="00533BBA" w:rsidRPr="00FE6459">
        <w:rPr>
          <w:rFonts w:ascii="Arial" w:hAnsi="Arial" w:cs="Arial"/>
          <w:bCs/>
          <w:highlight w:val="yellow"/>
        </w:rPr>
        <w:t>hase-in 2</w:t>
      </w:r>
      <w:r w:rsidRPr="00FE6459">
        <w:rPr>
          <w:rFonts w:ascii="Arial" w:hAnsi="Arial" w:cs="Arial"/>
          <w:bCs/>
          <w:highlight w:val="yellow"/>
        </w:rPr>
        <w:t>,</w:t>
      </w:r>
      <w:r w:rsidR="00533BBA" w:rsidRPr="00FE6459">
        <w:rPr>
          <w:rFonts w:ascii="Arial" w:hAnsi="Arial" w:cs="Arial"/>
          <w:bCs/>
          <w:highlight w:val="yellow"/>
        </w:rPr>
        <w:t xml:space="preserve"> and final recommended cut scores will be reported in the 2014 statewide test reports.</w:t>
      </w:r>
    </w:p>
    <w:p w:rsidR="004A07E1" w:rsidRPr="004A07E1" w:rsidRDefault="00A37644" w:rsidP="007F39A7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Commissioner Rulemaking for Performance Standards</w:t>
      </w:r>
    </w:p>
    <w:p w:rsidR="00936287" w:rsidRDefault="00146F3E" w:rsidP="007F39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TEA </w:t>
      </w:r>
      <w:r w:rsidR="003B25FE">
        <w:rPr>
          <w:rFonts w:ascii="Arial" w:hAnsi="Arial" w:cs="Arial"/>
        </w:rPr>
        <w:t>has begun</w:t>
      </w:r>
      <w:r>
        <w:rPr>
          <w:rFonts w:ascii="Arial" w:hAnsi="Arial" w:cs="Arial"/>
        </w:rPr>
        <w:t xml:space="preserve"> </w:t>
      </w:r>
      <w:r w:rsidR="00A37644">
        <w:rPr>
          <w:rFonts w:ascii="Arial" w:hAnsi="Arial" w:cs="Arial"/>
        </w:rPr>
        <w:t xml:space="preserve">the rulemaking process to amend </w:t>
      </w:r>
      <w:r>
        <w:rPr>
          <w:rFonts w:ascii="Arial" w:hAnsi="Arial" w:cs="Arial"/>
        </w:rPr>
        <w:t xml:space="preserve">19 </w:t>
      </w:r>
      <w:smartTag w:uri="urn:schemas-microsoft-com:office:smarttags" w:element="stockticker">
        <w:r w:rsidR="00A37644" w:rsidRPr="00A37644">
          <w:rPr>
            <w:rFonts w:ascii="Arial" w:hAnsi="Arial" w:cs="Arial"/>
          </w:rPr>
          <w:t>TAC</w:t>
        </w:r>
      </w:smartTag>
      <w:r w:rsidR="00A37644" w:rsidRPr="00A37644">
        <w:rPr>
          <w:rFonts w:ascii="Arial" w:hAnsi="Arial" w:cs="Arial"/>
        </w:rPr>
        <w:t xml:space="preserve"> Chapter 101, </w:t>
      </w:r>
      <w:r w:rsidR="00A37644" w:rsidRPr="00A37644">
        <w:rPr>
          <w:rFonts w:ascii="Arial" w:hAnsi="Arial" w:cs="Arial"/>
          <w:u w:val="single"/>
        </w:rPr>
        <w:t>Assessment</w:t>
      </w:r>
      <w:r w:rsidR="00A37644" w:rsidRPr="00A37644">
        <w:rPr>
          <w:rFonts w:ascii="Arial" w:hAnsi="Arial" w:cs="Arial"/>
        </w:rPr>
        <w:t xml:space="preserve">, Subchapter CC, </w:t>
      </w:r>
      <w:r w:rsidR="00A37644" w:rsidRPr="00A37644">
        <w:rPr>
          <w:rFonts w:ascii="Arial" w:hAnsi="Arial" w:cs="Arial"/>
          <w:u w:val="single"/>
        </w:rPr>
        <w:t>Commissioner's Rules Concerning Performance Standards</w:t>
      </w:r>
      <w:r w:rsidR="00A37644" w:rsidRPr="00A37644">
        <w:rPr>
          <w:rFonts w:ascii="Arial" w:hAnsi="Arial" w:cs="Arial"/>
        </w:rPr>
        <w:t>, §101.3041</w:t>
      </w:r>
      <w:r w:rsidR="00A3764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 xml:space="preserve">implement the new English I and English II performance standards. </w:t>
      </w:r>
      <w:r w:rsidR="003B25FE">
        <w:rPr>
          <w:rFonts w:ascii="Arial" w:hAnsi="Arial" w:cs="Arial"/>
        </w:rPr>
        <w:t>The proposed rules</w:t>
      </w:r>
      <w:r>
        <w:rPr>
          <w:rFonts w:ascii="Arial" w:hAnsi="Arial" w:cs="Arial"/>
        </w:rPr>
        <w:t xml:space="preserve"> will also </w:t>
      </w:r>
      <w:r w:rsidR="00A37644">
        <w:rPr>
          <w:rFonts w:ascii="Arial" w:hAnsi="Arial" w:cs="Arial"/>
        </w:rPr>
        <w:t>specify</w:t>
      </w:r>
      <w:r>
        <w:rPr>
          <w:rFonts w:ascii="Arial" w:hAnsi="Arial" w:cs="Arial"/>
        </w:rPr>
        <w:t xml:space="preserve"> </w:t>
      </w:r>
      <w:r w:rsidR="008703FA">
        <w:rPr>
          <w:rFonts w:ascii="Arial" w:hAnsi="Arial" w:cs="Arial"/>
        </w:rPr>
        <w:t>the following:</w:t>
      </w:r>
    </w:p>
    <w:p w:rsidR="00146F3E" w:rsidRDefault="00146F3E" w:rsidP="007F39A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46F3E">
        <w:rPr>
          <w:rFonts w:ascii="Arial" w:hAnsi="Arial" w:cs="Arial"/>
        </w:rPr>
        <w:t>the</w:t>
      </w:r>
      <w:r w:rsidR="00817CA0">
        <w:rPr>
          <w:rFonts w:ascii="Arial" w:hAnsi="Arial" w:cs="Arial"/>
        </w:rPr>
        <w:t xml:space="preserve"> phase-in 1 </w:t>
      </w:r>
      <w:r w:rsidR="008703FA">
        <w:rPr>
          <w:rFonts w:ascii="Arial" w:hAnsi="Arial" w:cs="Arial"/>
        </w:rPr>
        <w:t xml:space="preserve">performance </w:t>
      </w:r>
      <w:r w:rsidR="00817CA0">
        <w:rPr>
          <w:rFonts w:ascii="Arial" w:hAnsi="Arial" w:cs="Arial"/>
        </w:rPr>
        <w:t xml:space="preserve">standard </w:t>
      </w:r>
      <w:r w:rsidR="00A37644" w:rsidRPr="00146F3E">
        <w:rPr>
          <w:rFonts w:ascii="Arial" w:hAnsi="Arial" w:cs="Arial"/>
        </w:rPr>
        <w:t>remain</w:t>
      </w:r>
      <w:r w:rsidR="00817CA0">
        <w:rPr>
          <w:rFonts w:ascii="Arial" w:hAnsi="Arial" w:cs="Arial"/>
        </w:rPr>
        <w:t>s</w:t>
      </w:r>
      <w:r w:rsidR="00A37644" w:rsidRPr="00146F3E">
        <w:rPr>
          <w:rFonts w:ascii="Arial" w:hAnsi="Arial" w:cs="Arial"/>
        </w:rPr>
        <w:t xml:space="preserve"> effective for the 2013</w:t>
      </w:r>
      <w:r w:rsidR="008703FA">
        <w:rPr>
          <w:rFonts w:ascii="Arial" w:hAnsi="Arial" w:cs="Arial"/>
        </w:rPr>
        <w:t>–</w:t>
      </w:r>
      <w:r w:rsidR="00A37644" w:rsidRPr="00146F3E">
        <w:rPr>
          <w:rFonts w:ascii="Arial" w:hAnsi="Arial" w:cs="Arial"/>
        </w:rPr>
        <w:t>2014 school year for all applicable assessments</w:t>
      </w:r>
      <w:r>
        <w:rPr>
          <w:rFonts w:ascii="Arial" w:hAnsi="Arial" w:cs="Arial"/>
        </w:rPr>
        <w:t>; and</w:t>
      </w:r>
    </w:p>
    <w:p w:rsidR="006A65BA" w:rsidRPr="003B25FE" w:rsidRDefault="00146F3E" w:rsidP="007F39A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gramStart"/>
      <w:r w:rsidRPr="00146F3E">
        <w:rPr>
          <w:rFonts w:ascii="Arial" w:hAnsi="Arial" w:cs="Arial"/>
        </w:rPr>
        <w:t>the</w:t>
      </w:r>
      <w:proofErr w:type="gramEnd"/>
      <w:r w:rsidRPr="00146F3E">
        <w:rPr>
          <w:rFonts w:ascii="Arial" w:hAnsi="Arial" w:cs="Arial"/>
        </w:rPr>
        <w:t xml:space="preserve"> performance standard in place when a student first </w:t>
      </w:r>
      <w:r w:rsidR="004C5F0B">
        <w:rPr>
          <w:rFonts w:ascii="Arial" w:hAnsi="Arial" w:cs="Arial"/>
        </w:rPr>
        <w:t>takes</w:t>
      </w:r>
      <w:r w:rsidR="004C5F0B" w:rsidRPr="00146F3E">
        <w:rPr>
          <w:rFonts w:ascii="Arial" w:hAnsi="Arial" w:cs="Arial"/>
        </w:rPr>
        <w:t xml:space="preserve"> </w:t>
      </w:r>
      <w:r w:rsidRPr="00146F3E">
        <w:rPr>
          <w:rFonts w:ascii="Arial" w:hAnsi="Arial" w:cs="Arial"/>
        </w:rPr>
        <w:t xml:space="preserve">an EOC assessment </w:t>
      </w:r>
      <w:r w:rsidR="004C5F0B">
        <w:rPr>
          <w:rFonts w:ascii="Arial" w:hAnsi="Arial" w:cs="Arial"/>
        </w:rPr>
        <w:t>will</w:t>
      </w:r>
      <w:r w:rsidR="004C5F0B" w:rsidRPr="00146F3E">
        <w:rPr>
          <w:rFonts w:ascii="Arial" w:hAnsi="Arial" w:cs="Arial"/>
        </w:rPr>
        <w:t xml:space="preserve"> </w:t>
      </w:r>
      <w:r w:rsidRPr="00146F3E">
        <w:rPr>
          <w:rFonts w:ascii="Arial" w:hAnsi="Arial" w:cs="Arial"/>
        </w:rPr>
        <w:t>apply to all five EOC assessments.</w:t>
      </w:r>
      <w:r w:rsidR="00817CA0">
        <w:rPr>
          <w:rFonts w:ascii="Arial" w:hAnsi="Arial" w:cs="Arial"/>
        </w:rPr>
        <w:t xml:space="preserve"> </w:t>
      </w:r>
      <w:r w:rsidRPr="00146F3E">
        <w:rPr>
          <w:rFonts w:ascii="Arial" w:hAnsi="Arial" w:cs="Arial"/>
        </w:rPr>
        <w:t xml:space="preserve"> </w:t>
      </w:r>
    </w:p>
    <w:p w:rsidR="009E5B9C" w:rsidRDefault="006A65BA" w:rsidP="007F39A7">
      <w:pPr>
        <w:spacing w:line="240" w:lineRule="auto"/>
        <w:rPr>
          <w:rFonts w:ascii="Arial" w:hAnsi="Arial" w:cs="Arial"/>
        </w:rPr>
      </w:pPr>
      <w:r w:rsidRPr="006A65B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questions related to assessment performance standards</w:t>
      </w:r>
      <w:r w:rsidRPr="006A65BA">
        <w:rPr>
          <w:rFonts w:ascii="Arial" w:hAnsi="Arial" w:cs="Arial"/>
        </w:rPr>
        <w:t>, please call the Student Assessment Division at 512-463-9536.</w:t>
      </w:r>
    </w:p>
    <w:p w:rsidR="00942D1D" w:rsidRDefault="00942D1D" w:rsidP="007F39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942D1D" w:rsidRDefault="00942D1D" w:rsidP="007F39A7">
      <w:pPr>
        <w:spacing w:line="240" w:lineRule="auto"/>
        <w:rPr>
          <w:rFonts w:ascii="Arial" w:hAnsi="Arial" w:cs="Arial"/>
        </w:rPr>
      </w:pPr>
    </w:p>
    <w:p w:rsidR="009E5B9C" w:rsidRDefault="007F39A7" w:rsidP="007F39A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Criss Cloudt, Associate Commissioner</w:t>
      </w:r>
    </w:p>
    <w:p w:rsidR="00936287" w:rsidRDefault="007F39A7" w:rsidP="007F39A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 of Assessment and Accountability</w:t>
      </w:r>
    </w:p>
    <w:p w:rsidR="00942D1D" w:rsidRDefault="00942D1D" w:rsidP="00CC421A">
      <w:pPr>
        <w:spacing w:line="240" w:lineRule="auto"/>
        <w:jc w:val="both"/>
        <w:rPr>
          <w:rFonts w:ascii="Arial" w:hAnsi="Arial" w:cs="Arial"/>
        </w:rPr>
      </w:pPr>
    </w:p>
    <w:p w:rsidR="00942D1D" w:rsidRPr="00942D1D" w:rsidRDefault="00942D1D" w:rsidP="00CC421A">
      <w:pPr>
        <w:spacing w:line="240" w:lineRule="auto"/>
        <w:jc w:val="both"/>
        <w:rPr>
          <w:rFonts w:ascii="Arial" w:hAnsi="Arial" w:cs="Arial"/>
        </w:rPr>
      </w:pPr>
    </w:p>
    <w:p w:rsidR="00142181" w:rsidRDefault="00142181" w:rsidP="00CC421A">
      <w:pPr>
        <w:spacing w:line="240" w:lineRule="auto"/>
        <w:jc w:val="both"/>
        <w:rPr>
          <w:rFonts w:ascii="Arial" w:hAnsi="Arial" w:cs="Arial"/>
        </w:rPr>
      </w:pPr>
    </w:p>
    <w:p w:rsidR="00142181" w:rsidRPr="00142181" w:rsidRDefault="00142181" w:rsidP="00CC421A">
      <w:pPr>
        <w:spacing w:line="240" w:lineRule="auto"/>
        <w:jc w:val="both"/>
        <w:rPr>
          <w:rFonts w:ascii="Arial" w:hAnsi="Arial" w:cs="Arial"/>
        </w:rPr>
      </w:pPr>
    </w:p>
    <w:p w:rsidR="00EA4919" w:rsidRDefault="00EA4919" w:rsidP="00CC421A">
      <w:pPr>
        <w:jc w:val="both"/>
      </w:pPr>
    </w:p>
    <w:sectPr w:rsidR="00EA4919" w:rsidSect="007F39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6FE7"/>
    <w:multiLevelType w:val="multilevel"/>
    <w:tmpl w:val="63A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F3415"/>
    <w:multiLevelType w:val="hybridMultilevel"/>
    <w:tmpl w:val="B3C4F916"/>
    <w:lvl w:ilvl="0" w:tplc="040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" w15:restartNumberingAfterBreak="0">
    <w:nsid w:val="78094426"/>
    <w:multiLevelType w:val="hybridMultilevel"/>
    <w:tmpl w:val="5E487B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F"/>
    <w:rsid w:val="000019FD"/>
    <w:rsid w:val="00016078"/>
    <w:rsid w:val="00087FFA"/>
    <w:rsid w:val="000B6BCD"/>
    <w:rsid w:val="000D3011"/>
    <w:rsid w:val="00142181"/>
    <w:rsid w:val="00143991"/>
    <w:rsid w:val="00146F3E"/>
    <w:rsid w:val="00153DCE"/>
    <w:rsid w:val="00186347"/>
    <w:rsid w:val="001A7615"/>
    <w:rsid w:val="001C56E0"/>
    <w:rsid w:val="001D0BFA"/>
    <w:rsid w:val="001D0F3B"/>
    <w:rsid w:val="0020650F"/>
    <w:rsid w:val="0020773F"/>
    <w:rsid w:val="00214EB4"/>
    <w:rsid w:val="002412D9"/>
    <w:rsid w:val="00255095"/>
    <w:rsid w:val="00280C73"/>
    <w:rsid w:val="002944B8"/>
    <w:rsid w:val="003065EB"/>
    <w:rsid w:val="003A077A"/>
    <w:rsid w:val="003B25FE"/>
    <w:rsid w:val="003E28E3"/>
    <w:rsid w:val="003E7547"/>
    <w:rsid w:val="00420B7C"/>
    <w:rsid w:val="00435742"/>
    <w:rsid w:val="004A07E1"/>
    <w:rsid w:val="004C5F0B"/>
    <w:rsid w:val="004D49CB"/>
    <w:rsid w:val="00517F85"/>
    <w:rsid w:val="00525C2F"/>
    <w:rsid w:val="00533BBA"/>
    <w:rsid w:val="005532E0"/>
    <w:rsid w:val="00561D56"/>
    <w:rsid w:val="00564917"/>
    <w:rsid w:val="005C4AB8"/>
    <w:rsid w:val="005F4F20"/>
    <w:rsid w:val="00612255"/>
    <w:rsid w:val="0062138E"/>
    <w:rsid w:val="00634BC6"/>
    <w:rsid w:val="00667AC8"/>
    <w:rsid w:val="006A283A"/>
    <w:rsid w:val="006A65BA"/>
    <w:rsid w:val="006D6D76"/>
    <w:rsid w:val="006D79CB"/>
    <w:rsid w:val="00723212"/>
    <w:rsid w:val="00725642"/>
    <w:rsid w:val="0072694D"/>
    <w:rsid w:val="00735B58"/>
    <w:rsid w:val="00737650"/>
    <w:rsid w:val="0077017F"/>
    <w:rsid w:val="00790728"/>
    <w:rsid w:val="00791E81"/>
    <w:rsid w:val="007F39A7"/>
    <w:rsid w:val="007F47BD"/>
    <w:rsid w:val="00817CA0"/>
    <w:rsid w:val="00832945"/>
    <w:rsid w:val="008703FA"/>
    <w:rsid w:val="0087249B"/>
    <w:rsid w:val="00876750"/>
    <w:rsid w:val="008D16F7"/>
    <w:rsid w:val="008E6C34"/>
    <w:rsid w:val="008F58F1"/>
    <w:rsid w:val="00912F1A"/>
    <w:rsid w:val="009158C6"/>
    <w:rsid w:val="00915EEC"/>
    <w:rsid w:val="00921297"/>
    <w:rsid w:val="009323DC"/>
    <w:rsid w:val="00936287"/>
    <w:rsid w:val="00942D1D"/>
    <w:rsid w:val="00963839"/>
    <w:rsid w:val="00970EE6"/>
    <w:rsid w:val="0097793A"/>
    <w:rsid w:val="009C57D7"/>
    <w:rsid w:val="009E05AA"/>
    <w:rsid w:val="009E1BB6"/>
    <w:rsid w:val="009E5B9C"/>
    <w:rsid w:val="00A10D07"/>
    <w:rsid w:val="00A37644"/>
    <w:rsid w:val="00A4089F"/>
    <w:rsid w:val="00A54D7D"/>
    <w:rsid w:val="00A636D6"/>
    <w:rsid w:val="00A900C9"/>
    <w:rsid w:val="00AD6C26"/>
    <w:rsid w:val="00B33D3A"/>
    <w:rsid w:val="00B619AE"/>
    <w:rsid w:val="00B76226"/>
    <w:rsid w:val="00B90D57"/>
    <w:rsid w:val="00B96C15"/>
    <w:rsid w:val="00BD0800"/>
    <w:rsid w:val="00BD0D05"/>
    <w:rsid w:val="00C666C0"/>
    <w:rsid w:val="00C777A5"/>
    <w:rsid w:val="00C80DC3"/>
    <w:rsid w:val="00C91EFE"/>
    <w:rsid w:val="00CA6D1F"/>
    <w:rsid w:val="00CB2401"/>
    <w:rsid w:val="00CC421A"/>
    <w:rsid w:val="00CC62F3"/>
    <w:rsid w:val="00CD72EC"/>
    <w:rsid w:val="00CE1451"/>
    <w:rsid w:val="00D10E99"/>
    <w:rsid w:val="00D27F78"/>
    <w:rsid w:val="00DA525D"/>
    <w:rsid w:val="00DF060B"/>
    <w:rsid w:val="00DF3D18"/>
    <w:rsid w:val="00E0129F"/>
    <w:rsid w:val="00E23485"/>
    <w:rsid w:val="00E420A0"/>
    <w:rsid w:val="00E42206"/>
    <w:rsid w:val="00E52531"/>
    <w:rsid w:val="00E56CFF"/>
    <w:rsid w:val="00E72905"/>
    <w:rsid w:val="00E90C77"/>
    <w:rsid w:val="00E9613B"/>
    <w:rsid w:val="00EA4919"/>
    <w:rsid w:val="00EA5978"/>
    <w:rsid w:val="00EC3938"/>
    <w:rsid w:val="00ED49C9"/>
    <w:rsid w:val="00EE24C2"/>
    <w:rsid w:val="00F20C94"/>
    <w:rsid w:val="00F30D44"/>
    <w:rsid w:val="00F66141"/>
    <w:rsid w:val="00F91547"/>
    <w:rsid w:val="00FD08A6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F94A4FA-0909-4DE8-A197-36EBE11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0F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9C9"/>
    <w:rPr>
      <w:b/>
      <w:bCs/>
    </w:rPr>
  </w:style>
  <w:style w:type="table" w:styleId="TableGrid">
    <w:name w:val="Table Grid"/>
    <w:basedOn w:val="TableNormal"/>
    <w:uiPriority w:val="59"/>
    <w:rsid w:val="00ED49C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49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C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A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AC8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F4F20"/>
    <w:pPr>
      <w:widowControl w:val="0"/>
      <w:spacing w:after="0" w:line="240" w:lineRule="auto"/>
      <w:ind w:left="346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4F20"/>
    <w:rPr>
      <w:rFonts w:ascii="Arial" w:eastAsia="Arial" w:hAnsi="Arial"/>
      <w:sz w:val="21"/>
      <w:szCs w:val="21"/>
    </w:rPr>
  </w:style>
  <w:style w:type="paragraph" w:styleId="NoSpacing">
    <w:name w:val="No Spacing"/>
    <w:uiPriority w:val="1"/>
    <w:qFormat/>
    <w:rsid w:val="005F4F20"/>
    <w:pPr>
      <w:widowControl w:val="0"/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E6A3-D1BF-47A4-90B4-6B412639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twilson</dc:creator>
  <cp:lastModifiedBy>Alexander, Celeste D</cp:lastModifiedBy>
  <cp:revision>2</cp:revision>
  <cp:lastPrinted>2014-03-13T18:48:00Z</cp:lastPrinted>
  <dcterms:created xsi:type="dcterms:W3CDTF">2018-12-18T20:52:00Z</dcterms:created>
  <dcterms:modified xsi:type="dcterms:W3CDTF">2018-12-18T20:52:00Z</dcterms:modified>
</cp:coreProperties>
</file>